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/>
          <w:b/>
          <w:bCs/>
          <w:sz w:val="24"/>
        </w:rPr>
      </w:pPr>
      <w:bookmarkStart w:id="0" w:name="_GoBack"/>
      <w:r>
        <w:rPr>
          <w:rFonts w:hint="eastAsia" w:ascii="Times New Roman" w:hAnsi="Times New Roman"/>
          <w:b/>
          <w:bCs/>
          <w:sz w:val="24"/>
        </w:rPr>
        <w:t>附表1</w:t>
      </w:r>
      <w:r>
        <w:rPr>
          <w:rFonts w:ascii="Times New Roman" w:hAnsi="Times New Roman"/>
          <w:b/>
          <w:bCs/>
          <w:sz w:val="24"/>
        </w:rPr>
        <w:t xml:space="preserve"> </w:t>
      </w:r>
      <w:r>
        <w:rPr>
          <w:rFonts w:hint="eastAsia" w:ascii="Times New Roman" w:hAnsi="Times New Roman"/>
          <w:b/>
          <w:bCs/>
          <w:sz w:val="24"/>
          <w:lang w:val="en-US" w:eastAsia="zh-CN"/>
        </w:rPr>
        <w:t xml:space="preserve">  </w:t>
      </w:r>
      <w:r>
        <w:rPr>
          <w:rFonts w:ascii="Times New Roman" w:hAnsi="Times New Roman"/>
          <w:b/>
          <w:bCs/>
          <w:sz w:val="24"/>
        </w:rPr>
        <w:t xml:space="preserve"> </w:t>
      </w:r>
      <w:r>
        <w:rPr>
          <w:rFonts w:hint="eastAsia" w:ascii="Times New Roman" w:hAnsi="Times New Roman"/>
          <w:b/>
          <w:bCs/>
          <w:sz w:val="24"/>
        </w:rPr>
        <w:t>建设项目大气环境影响评价自查表</w:t>
      </w:r>
    </w:p>
    <w:bookmarkEnd w:id="0"/>
    <w:tbl>
      <w:tblPr>
        <w:tblStyle w:val="9"/>
        <w:tblW w:w="8336" w:type="dxa"/>
        <w:tblInd w:w="-15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4"/>
        <w:gridCol w:w="1555"/>
        <w:gridCol w:w="899"/>
        <w:gridCol w:w="346"/>
        <w:gridCol w:w="105"/>
        <w:gridCol w:w="84"/>
        <w:gridCol w:w="544"/>
        <w:gridCol w:w="353"/>
        <w:gridCol w:w="203"/>
        <w:gridCol w:w="245"/>
        <w:gridCol w:w="261"/>
        <w:gridCol w:w="596"/>
        <w:gridCol w:w="167"/>
        <w:gridCol w:w="587"/>
        <w:gridCol w:w="288"/>
        <w:gridCol w:w="86"/>
        <w:gridCol w:w="448"/>
        <w:gridCol w:w="66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2459" w:type="dxa"/>
            <w:gridSpan w:val="2"/>
            <w:tcBorders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工作内容</w:t>
            </w:r>
          </w:p>
        </w:tc>
        <w:tc>
          <w:tcPr>
            <w:tcW w:w="5877" w:type="dxa"/>
            <w:gridSpan w:val="16"/>
            <w:tcBorders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自查项目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904" w:type="dxa"/>
            <w:vMerge w:val="restar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评价等级与范围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评价等级</w:t>
            </w:r>
          </w:p>
        </w:tc>
        <w:tc>
          <w:tcPr>
            <w:tcW w:w="2331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一级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05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二级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  <w:tc>
          <w:tcPr>
            <w:tcW w:w="148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三级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评价范围</w:t>
            </w:r>
          </w:p>
        </w:tc>
        <w:tc>
          <w:tcPr>
            <w:tcW w:w="2331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边长=50km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05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边长 5～50km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48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边长=5 km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904" w:type="dxa"/>
            <w:vMerge w:val="restar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评价因子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+NOx 排放量</w:t>
            </w:r>
          </w:p>
        </w:tc>
        <w:tc>
          <w:tcPr>
            <w:tcW w:w="124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≥ 2000t/a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3145" w:type="dxa"/>
            <w:gridSpan w:val="10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 ~ 2000t/a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48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＜500 t/a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评价因子</w:t>
            </w:r>
          </w:p>
        </w:tc>
        <w:tc>
          <w:tcPr>
            <w:tcW w:w="3040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基本污染物 (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其他污染物 (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 xml:space="preserve"> TSP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eastAsia="zh-CN"/>
              </w:rPr>
              <w:t>、苯并[a]芘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37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包括二次PM2.5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不包括二次PM2.5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904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评价标准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评价标准</w:t>
            </w:r>
          </w:p>
        </w:tc>
        <w:tc>
          <w:tcPr>
            <w:tcW w:w="1978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国家标准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  <w:tc>
          <w:tcPr>
            <w:tcW w:w="106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地方标准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724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附录 D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11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其他标准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904" w:type="dxa"/>
            <w:vMerge w:val="restar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现状评价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环境功能区</w:t>
            </w:r>
          </w:p>
        </w:tc>
        <w:tc>
          <w:tcPr>
            <w:tcW w:w="2331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一类区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05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二类区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  <w:tc>
          <w:tcPr>
            <w:tcW w:w="148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一类区和二类区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评价基准年</w:t>
            </w:r>
          </w:p>
        </w:tc>
        <w:tc>
          <w:tcPr>
            <w:tcW w:w="5877" w:type="dxa"/>
            <w:gridSpan w:val="16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（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2019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）年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环境空气质量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现状调查数据来源</w:t>
            </w:r>
          </w:p>
        </w:tc>
        <w:tc>
          <w:tcPr>
            <w:tcW w:w="2331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长期例行监测数据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05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主管部门发布的数据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  <w:tc>
          <w:tcPr>
            <w:tcW w:w="148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现状补充监测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现状评价</w:t>
            </w:r>
          </w:p>
        </w:tc>
        <w:tc>
          <w:tcPr>
            <w:tcW w:w="3040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达标区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837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不达标区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904" w:type="dxa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污染源调查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调查内容</w:t>
            </w:r>
          </w:p>
        </w:tc>
        <w:tc>
          <w:tcPr>
            <w:tcW w:w="1978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本项目正常排放源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本项目非正常排放源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现有污染源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062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拟替代的污染源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724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其他在建、拟建项目污染源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11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区域污染源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04" w:type="dxa"/>
            <w:vMerge w:val="restar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大气环境影响预测与评价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预测模型</w:t>
            </w:r>
          </w:p>
        </w:tc>
        <w:tc>
          <w:tcPr>
            <w:tcW w:w="8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AERMOD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53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ADMS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10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AUSTAL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2000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10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EDMS/AEDT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75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CALPUFF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82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网格模型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其他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预测范围</w:t>
            </w:r>
          </w:p>
        </w:tc>
        <w:tc>
          <w:tcPr>
            <w:tcW w:w="1434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边长≥ 50km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956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边长 5～50km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148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边长 = 5 km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预测因子</w:t>
            </w:r>
          </w:p>
        </w:tc>
        <w:tc>
          <w:tcPr>
            <w:tcW w:w="3040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预测因子(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837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包括二次PM2.5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不包括二次PM2.5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正常排放短期浓度贡献值</w:t>
            </w:r>
          </w:p>
        </w:tc>
        <w:tc>
          <w:tcPr>
            <w:tcW w:w="3040" w:type="dxa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本项目最大占标率≤100%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837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本项目最大占标率＞100%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正常排放年均浓度贡献值</w:t>
            </w:r>
          </w:p>
        </w:tc>
        <w:tc>
          <w:tcPr>
            <w:tcW w:w="8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一类区</w:t>
            </w:r>
          </w:p>
        </w:tc>
        <w:tc>
          <w:tcPr>
            <w:tcW w:w="2141" w:type="dxa"/>
            <w:gridSpan w:val="8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本项目最大占标率≤10%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837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本项目最大标率＞10%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二类区</w:t>
            </w:r>
          </w:p>
        </w:tc>
        <w:tc>
          <w:tcPr>
            <w:tcW w:w="2141" w:type="dxa"/>
            <w:gridSpan w:val="8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本项目最大占标率≤30%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837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本项目最大标率＞30%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非正常排放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1h浓度贡献值</w:t>
            </w:r>
          </w:p>
        </w:tc>
        <w:tc>
          <w:tcPr>
            <w:tcW w:w="135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非正常持续时长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（ ）h</w:t>
            </w:r>
          </w:p>
        </w:tc>
        <w:tc>
          <w:tcPr>
            <w:tcW w:w="2453" w:type="dxa"/>
            <w:gridSpan w:val="8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非正常占标率≤100%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2074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非正常占标率＞100%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保证率日平均浓度和年平均浓度叠加值</w:t>
            </w:r>
          </w:p>
        </w:tc>
        <w:tc>
          <w:tcPr>
            <w:tcW w:w="2779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叠加达标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3098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叠加不达标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区域环境质量的整体变化情况</w:t>
            </w:r>
          </w:p>
        </w:tc>
        <w:tc>
          <w:tcPr>
            <w:tcW w:w="2779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k≤-20%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  <w:tc>
          <w:tcPr>
            <w:tcW w:w="3098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k  ＞-20%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904" w:type="dxa"/>
            <w:vMerge w:val="restar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环境监测计划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污染源监测</w:t>
            </w:r>
          </w:p>
        </w:tc>
        <w:tc>
          <w:tcPr>
            <w:tcW w:w="2534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监测因子：（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TSP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eastAsia="zh-CN"/>
              </w:rPr>
              <w:t>、颗粒物、二氧化硫、氮氧化物、苯并[a]芘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</w:t>
            </w:r>
          </w:p>
        </w:tc>
        <w:tc>
          <w:tcPr>
            <w:tcW w:w="2230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有组织废气监测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无组织废气监测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  <w:tc>
          <w:tcPr>
            <w:tcW w:w="111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无监测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环境质量监测</w:t>
            </w:r>
          </w:p>
        </w:tc>
        <w:tc>
          <w:tcPr>
            <w:tcW w:w="2534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监测因子：（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</w:t>
            </w:r>
          </w:p>
        </w:tc>
        <w:tc>
          <w:tcPr>
            <w:tcW w:w="2230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监测点位数（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</w:t>
            </w:r>
          </w:p>
        </w:tc>
        <w:tc>
          <w:tcPr>
            <w:tcW w:w="111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无监测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904" w:type="dxa"/>
            <w:vMerge w:val="restar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评价结论</w:t>
            </w: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环境影响</w:t>
            </w:r>
          </w:p>
        </w:tc>
        <w:tc>
          <w:tcPr>
            <w:tcW w:w="5877" w:type="dxa"/>
            <w:gridSpan w:val="16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可以接受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52"/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不可以接受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sym w:font="Wingdings 2" w:char="00A3"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大气环境防护距离</w:t>
            </w:r>
          </w:p>
        </w:tc>
        <w:tc>
          <w:tcPr>
            <w:tcW w:w="5877" w:type="dxa"/>
            <w:gridSpan w:val="16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距厂界最远（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）m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904" w:type="dxa"/>
            <w:vMerge w:val="continue"/>
            <w:tcBorders>
              <w:top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污染源年排放量</w:t>
            </w:r>
          </w:p>
        </w:tc>
        <w:tc>
          <w:tcPr>
            <w:tcW w:w="1434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SO</w:t>
            </w:r>
            <w:r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:（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0.1926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）t/a</w:t>
            </w:r>
          </w:p>
        </w:tc>
        <w:tc>
          <w:tcPr>
            <w:tcW w:w="1606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NOx:（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0.3030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）t/a</w:t>
            </w:r>
          </w:p>
        </w:tc>
        <w:tc>
          <w:tcPr>
            <w:tcW w:w="1638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颗粒物: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（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0.9226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）t/a</w:t>
            </w:r>
          </w:p>
        </w:tc>
        <w:tc>
          <w:tcPr>
            <w:tcW w:w="119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VOCs: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（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0.00001339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）t/a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8336" w:type="dxa"/>
            <w:gridSpan w:val="18"/>
            <w:tcBorders>
              <w:top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注：“□” 为勾选项 ，填“√” ；“（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）”  为内容填写项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D1176"/>
    <w:rsid w:val="001071AC"/>
    <w:rsid w:val="001666E9"/>
    <w:rsid w:val="00172A27"/>
    <w:rsid w:val="00174CB7"/>
    <w:rsid w:val="002D052B"/>
    <w:rsid w:val="0034194F"/>
    <w:rsid w:val="00394694"/>
    <w:rsid w:val="00396C4A"/>
    <w:rsid w:val="003B4CF8"/>
    <w:rsid w:val="00580D04"/>
    <w:rsid w:val="005B1D1C"/>
    <w:rsid w:val="006225DF"/>
    <w:rsid w:val="00625AFC"/>
    <w:rsid w:val="0068325E"/>
    <w:rsid w:val="006D3D31"/>
    <w:rsid w:val="00AB4635"/>
    <w:rsid w:val="00AB5952"/>
    <w:rsid w:val="00B02800"/>
    <w:rsid w:val="00B23979"/>
    <w:rsid w:val="00C27C3A"/>
    <w:rsid w:val="00C351B9"/>
    <w:rsid w:val="00C62D8B"/>
    <w:rsid w:val="00C77990"/>
    <w:rsid w:val="00DD7A93"/>
    <w:rsid w:val="00DE01B0"/>
    <w:rsid w:val="00DF36F9"/>
    <w:rsid w:val="00DF7A03"/>
    <w:rsid w:val="00E05C20"/>
    <w:rsid w:val="00F124FC"/>
    <w:rsid w:val="00F25B28"/>
    <w:rsid w:val="00F817E9"/>
    <w:rsid w:val="00FF4464"/>
    <w:rsid w:val="12CB304C"/>
    <w:rsid w:val="17F011B2"/>
    <w:rsid w:val="21A1134F"/>
    <w:rsid w:val="22F329D1"/>
    <w:rsid w:val="26292DD2"/>
    <w:rsid w:val="2AE16ABB"/>
    <w:rsid w:val="2DD21E6B"/>
    <w:rsid w:val="312C4C2E"/>
    <w:rsid w:val="39BB35CA"/>
    <w:rsid w:val="3A9575BE"/>
    <w:rsid w:val="3E4C2CE2"/>
    <w:rsid w:val="4042101B"/>
    <w:rsid w:val="45260E8B"/>
    <w:rsid w:val="4B0D5F05"/>
    <w:rsid w:val="53284CC4"/>
    <w:rsid w:val="53C919A9"/>
    <w:rsid w:val="59917F20"/>
    <w:rsid w:val="5A6562E2"/>
    <w:rsid w:val="5BD006E7"/>
    <w:rsid w:val="5E1F7196"/>
    <w:rsid w:val="72845A16"/>
    <w:rsid w:val="777D1F24"/>
    <w:rsid w:val="7C0F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0"/>
    <w:pPr>
      <w:spacing w:afterLines="50" w:line="710" w:lineRule="exact"/>
      <w:ind w:left="1134"/>
      <w:outlineLvl w:val="0"/>
    </w:pPr>
    <w:rPr>
      <w:rFonts w:ascii="微软雅黑" w:hAnsi="微软雅黑" w:cs="微软雅黑"/>
      <w:b/>
      <w:bCs/>
      <w:sz w:val="44"/>
      <w:szCs w:val="44"/>
    </w:rPr>
  </w:style>
  <w:style w:type="paragraph" w:styleId="3">
    <w:name w:val="heading 2"/>
    <w:basedOn w:val="1"/>
    <w:next w:val="1"/>
    <w:unhideWhenUsed/>
    <w:qFormat/>
    <w:uiPriority w:val="0"/>
    <w:pPr>
      <w:ind w:left="1395" w:hanging="476"/>
      <w:outlineLvl w:val="1"/>
    </w:pPr>
    <w:rPr>
      <w:rFonts w:ascii="微软雅黑" w:hAnsi="微软雅黑" w:cs="微软雅黑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0"/>
    <w:pPr>
      <w:ind w:left="1134" w:hanging="668"/>
      <w:outlineLvl w:val="2"/>
    </w:pPr>
    <w:rPr>
      <w:rFonts w:ascii="微软雅黑" w:hAnsi="微软雅黑" w:cs="微软雅黑"/>
      <w:b/>
      <w:bCs/>
      <w:sz w:val="24"/>
      <w:szCs w:val="24"/>
    </w:rPr>
  </w:style>
  <w:style w:type="character" w:default="1" w:styleId="8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sz w:val="21"/>
      <w:szCs w:val="21"/>
    </w:rPr>
  </w:style>
  <w:style w:type="paragraph" w:styleId="6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0">
    <w:name w:val="Table Paragraph"/>
    <w:basedOn w:val="1"/>
    <w:qFormat/>
    <w:uiPriority w:val="1"/>
  </w:style>
  <w:style w:type="character" w:customStyle="1" w:styleId="11">
    <w:name w:val="页眉 Char"/>
    <w:basedOn w:val="8"/>
    <w:link w:val="7"/>
    <w:qFormat/>
    <w:uiPriority w:val="0"/>
    <w:rPr>
      <w:rFonts w:ascii="宋体" w:hAnsi="宋体" w:eastAsia="宋体" w:cs="宋体"/>
      <w:sz w:val="18"/>
      <w:szCs w:val="18"/>
      <w:lang w:val="zh-CN" w:bidi="zh-CN"/>
    </w:rPr>
  </w:style>
  <w:style w:type="character" w:customStyle="1" w:styleId="12">
    <w:name w:val="页脚 Char"/>
    <w:basedOn w:val="8"/>
    <w:link w:val="6"/>
    <w:qFormat/>
    <w:uiPriority w:val="0"/>
    <w:rPr>
      <w:rFonts w:ascii="宋体" w:hAnsi="宋体" w:eastAsia="宋体" w:cs="宋体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Kingsoft</Company>
  <Pages>1</Pages>
  <Words>162</Words>
  <Characters>929</Characters>
  <Lines>7</Lines>
  <Paragraphs>2</Paragraphs>
  <TotalTime>0</TotalTime>
  <ScaleCrop>false</ScaleCrop>
  <LinksUpToDate>false</LinksUpToDate>
  <CharactersWithSpaces>1089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余玺</dc:creator>
  <cp:lastModifiedBy>dell</cp:lastModifiedBy>
  <dcterms:modified xsi:type="dcterms:W3CDTF">2020-11-28T16:30:25Z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